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  <w:t>The thesis “ISOSPIN MIXING AND IN-BEAM STUDY OF NON-YRAST STATES IN CO-56” can be found in the following link:</w:t>
      </w:r>
    </w:p>
    <w:p>
      <w:pPr>
        <w:pStyle w:val="style0"/>
      </w:pPr>
      <w:r>
        <w:rPr/>
      </w:r>
    </w:p>
    <w:p>
      <w:pPr>
        <w:pStyle w:val="style0"/>
      </w:pPr>
      <w:hyperlink r:id="rId2">
        <w:r>
          <w:rPr>
            <w:rStyle w:val="style19"/>
          </w:rPr>
          <w:t>https://www.educacion.gob.es/teseo/mostrarRef.do?ref=1660362</w:t>
        </w:r>
      </w:hyperlink>
      <w:r>
        <w:rPr/>
        <w:t>#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bookmarkStart w:id="0" w:name="_GoBack"/>
      <w:bookmarkEnd w:id="0"/>
      <w:r>
        <w:rPr/>
        <w:t xml:space="preserve">Summary: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In the present work we have studied the fusion-evaporation 56Fe(p,n gamma)56Co reaction with an incident 10 MeV proton-beam at the Maier-Leibnitz-Laboratory (MLL) of the Technische Universität München (TUM, Germany). The gamma-rays emitted in the de-excitation of the odd-odd 56Co nucleus were measured in-beam with four high-resolution MINIBALL-triple germanium (Ge) detectors. </w:t>
      </w:r>
    </w:p>
    <w:p>
      <w:pPr>
        <w:pStyle w:val="style0"/>
      </w:pPr>
      <w:r>
        <w:rPr/>
      </w:r>
    </w:p>
    <w:p>
      <w:pPr>
        <w:pStyle w:val="style0"/>
      </w:pPr>
      <w:r>
        <w:rPr/>
        <w:t>The experiment provided excellent data in gamma-gamma coincidences. A total of 223 gamma-transitions have been observed and placed in the level scheme, 169 of which were previously unobserved.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A total of 77 excited states have been observed: 37 of them were previously known states for which no gamma-de-excitation had been observed and 14 of them have been observed in this work for the first time. In 42 cases the precision of the excitation energy has been improved.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</w:t>
      </w:r>
      <w:r>
        <w:rPr/>
        <w:t>The spin and parity assignments to the excited states were made based on their gamma-decay pattern and the angular distributions of the gamma-ray de-excitations measured. The angular distributions of 53 gamma-transitions were measured, obtaining the corresponding angular coefficients A2. A total of 36 new J-pi assignments have been made, 10 improvements of previous J-pi assignments have been suggested and in 4 cases J-pi assignments ambiguities have been resolved. For the remainder of states, previously assigned J-pi values have been confirmed.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</w:t>
      </w:r>
      <w:r>
        <w:rPr/>
        <w:t xml:space="preserve">Large-scale shell-model calculations in a truncated fp-shell valence space were performed, using the NuShellX@MSU and ANTOINE codes with the KB3G, GXPF1a and KB3GR effective interactions, to compare with the experimental results. </w:t>
      </w:r>
    </w:p>
    <w:p>
      <w:pPr>
        <w:pStyle w:val="style0"/>
      </w:pPr>
      <w:r>
        <w:rPr/>
      </w:r>
    </w:p>
    <w:p>
      <w:pPr>
        <w:pStyle w:val="style0"/>
      </w:pPr>
      <w:r>
        <w:rPr/>
        <w:t>------------------------------------------------------------------------------</w:t>
      </w:r>
    </w:p>
    <w:p>
      <w:pPr>
        <w:pStyle w:val="style0"/>
      </w:pPr>
      <w:r>
        <w:rPr/>
      </w:r>
    </w:p>
    <w:p>
      <w:pPr>
        <w:pStyle w:val="style0"/>
      </w:pPr>
      <w:r>
        <w:rPr/>
        <w:t>Resumen: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En el presente trabajo hemos estudiado la reacción de fusión-evaporación 56Fe(p,n gamma)56Co con un haz incidente de protones de 10 MeV en el Maier-Leibnitz-Laboratory (MLL) de la Technische Universität München (TUM, Alemania). Los rayos gamma emitidos en la desexcitación del núcleo impar-impar 56Co fueron medidos "in-beam" con cuatro detectores triples de germanio de alta resolución MINIBALL.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El experimento proveyó excelentes datos en las coincidencias gamma-gamma. Un total de 223 transiciones gamma han sido observadas y colocadas en el esquema de niveles del 56Co, de las cuales 169 son gammas observadas por primera vez.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Un total de 77 estados excitados han sido observador: 37 de ellos eran estados previamente conocidos pero para los cuales no había sido observada desexcitación gamma y 14 de ellos han sido observador por primera vez.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Las asignaciones de espín y paridad a los estados excitados fueron basadas en el patrón de desexcitación gamma y en las distribuciones angulares de las transiciones gamma obtenidas en este trabajo. Se midieron 53 distribuciones angulares, obteniendo los correspondientes coeficientes angulares A2. Un total de 36 nuevos asignaciones espín-paridad han sido realizadas, 10 mejoras respecto a asignaciones propuestas previamente han sido sugeridas y en 4 casos se han resuelto ambigüedades previas en la asignación de espín-paridad. Para el resto de estados, las asignaciones de espín-paridad previas han sido confirmadas.  </w:t>
      </w:r>
    </w:p>
    <w:p>
      <w:pPr>
        <w:pStyle w:val="style0"/>
      </w:pPr>
      <w:r>
        <w:rPr/>
      </w:r>
    </w:p>
    <w:p>
      <w:pPr>
        <w:pStyle w:val="style0"/>
      </w:pPr>
      <w:r>
        <w:rPr/>
        <w:t>Cálculos de modelo de capas a gran escala en el espacio de valencia fp truncado han sido realizados, usando los códigos NuShellX@MSU y ANTOINE con las interacciones efectivas KB3G, GXPF1a y KB3GR, para realizar la comparación con los resultados experimentales.</w:t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ind w:firstLine="340" w:left="0" w:right="0"/>
      <w:jc w:val="both"/>
    </w:pPr>
    <w:rPr>
      <w:rFonts w:ascii="New York" w:cs="Times New Roman" w:eastAsia="Times New Roman" w:hAnsi="New York"/>
      <w:color w:val="00000A"/>
      <w:sz w:val="24"/>
      <w:szCs w:val="20"/>
      <w:lang w:bidi="ar-SA" w:eastAsia="ja-JP" w:val="en-GB"/>
    </w:rPr>
  </w:style>
  <w:style w:styleId="style1" w:type="paragraph">
    <w:name w:val="Heading 1"/>
    <w:basedOn w:val="style0"/>
    <w:next w:val="style21"/>
    <w:pPr>
      <w:keepNext/>
      <w:keepLines/>
      <w:numPr>
        <w:ilvl w:val="0"/>
        <w:numId w:val="1"/>
      </w:numPr>
      <w:spacing w:after="480" w:before="480"/>
      <w:ind w:firstLine="340" w:left="0" w:right="0"/>
      <w:outlineLvl w:val="0"/>
    </w:pPr>
    <w:rPr>
      <w:rFonts w:ascii="Calibri" w:cs="" w:hAnsi="Calibri"/>
      <w:b/>
      <w:bCs/>
      <w:sz w:val="40"/>
      <w:szCs w:val="32"/>
    </w:rPr>
  </w:style>
  <w:style w:styleId="style2" w:type="paragraph">
    <w:name w:val="Heading 2"/>
    <w:basedOn w:val="style0"/>
    <w:next w:val="style21"/>
    <w:pPr>
      <w:keepNext/>
      <w:keepLines/>
      <w:numPr>
        <w:ilvl w:val="1"/>
        <w:numId w:val="1"/>
      </w:numPr>
      <w:spacing w:after="240" w:before="200"/>
      <w:outlineLvl w:val="1"/>
    </w:pPr>
    <w:rPr>
      <w:rFonts w:ascii="Calibri" w:cs="" w:hAnsi="Calibri"/>
      <w:b/>
      <w:bCs/>
      <w:sz w:val="28"/>
      <w:szCs w:val="26"/>
    </w:rPr>
  </w:style>
  <w:style w:styleId="style3" w:type="paragraph">
    <w:name w:val="Heading 3"/>
    <w:basedOn w:val="style0"/>
    <w:next w:val="style21"/>
    <w:pPr>
      <w:keepNext/>
      <w:keepLines/>
      <w:numPr>
        <w:ilvl w:val="2"/>
        <w:numId w:val="1"/>
      </w:numPr>
      <w:spacing w:after="240" w:before="200"/>
      <w:outlineLvl w:val="2"/>
    </w:pPr>
    <w:rPr>
      <w:rFonts w:ascii="Calibri" w:cs="" w:hAnsi="Calibri"/>
      <w:b/>
      <w:bCs/>
      <w:sz w:val="26"/>
    </w:rPr>
  </w:style>
  <w:style w:styleId="style15" w:type="character">
    <w:name w:val="Default Paragraph Font"/>
    <w:next w:val="style15"/>
    <w:rPr/>
  </w:style>
  <w:style w:styleId="style16" w:type="character">
    <w:name w:val="Título 1 Car"/>
    <w:basedOn w:val="style15"/>
    <w:next w:val="style16"/>
    <w:rPr>
      <w:rFonts w:ascii="Calibri" w:cs="" w:hAnsi="Calibri"/>
      <w:b/>
      <w:bCs/>
      <w:sz w:val="40"/>
      <w:szCs w:val="32"/>
    </w:rPr>
  </w:style>
  <w:style w:styleId="style17" w:type="character">
    <w:name w:val="Título 2 Car"/>
    <w:basedOn w:val="style15"/>
    <w:next w:val="style17"/>
    <w:rPr>
      <w:rFonts w:ascii="Calibri" w:cs="" w:hAnsi="Calibri"/>
      <w:b/>
      <w:bCs/>
      <w:sz w:val="28"/>
      <w:szCs w:val="26"/>
    </w:rPr>
  </w:style>
  <w:style w:styleId="style18" w:type="character">
    <w:name w:val="Título 3 Car"/>
    <w:basedOn w:val="style15"/>
    <w:next w:val="style18"/>
    <w:rPr>
      <w:rFonts w:ascii="Calibri" w:cs="" w:hAnsi="Calibri"/>
      <w:b/>
      <w:bCs/>
      <w:sz w:val="26"/>
    </w:rPr>
  </w:style>
  <w:style w:styleId="style19" w:type="character">
    <w:name w:val="Internet Link"/>
    <w:next w:val="style19"/>
    <w:rPr>
      <w:color w:val="000080"/>
      <w:u w:val="single"/>
      <w:lang w:bidi="en-US" w:eastAsia="en-US" w:val="en-US"/>
    </w:rPr>
  </w:style>
  <w:style w:styleId="style20" w:type="paragraph">
    <w:name w:val="Heading"/>
    <w:basedOn w:val="style0"/>
    <w:next w:val="style21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21" w:type="paragraph">
    <w:name w:val="Text body"/>
    <w:basedOn w:val="style0"/>
    <w:next w:val="style21"/>
    <w:pPr>
      <w:spacing w:after="120" w:before="0"/>
    </w:pPr>
    <w:rPr/>
  </w:style>
  <w:style w:styleId="style22" w:type="paragraph">
    <w:name w:val="List"/>
    <w:basedOn w:val="style21"/>
    <w:next w:val="style22"/>
    <w:pPr/>
    <w:rPr>
      <w:rFonts w:cs="Lohit Hindi"/>
    </w:rPr>
  </w:style>
  <w:style w:styleId="style23" w:type="paragraph">
    <w:name w:val="Caption"/>
    <w:basedOn w:val="style0"/>
    <w:next w:val="style23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educacion.gob.es/teseo/mostrarRef.do?ref=1660362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2018-05-16T10:46:00.00Z</dcterms:created>
  <dc:creator>Ana Montaner Pizá</dc:creator>
  <cp:lastModifiedBy>Ana Montaner Pizá</cp:lastModifiedBy>
  <dcterms:modified xsi:type="dcterms:W3CDTF">2018-05-16T10:56:00.00Z</dcterms:modified>
  <cp:revision>1</cp:revision>
</cp:coreProperties>
</file>